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05A9" w14:textId="464468AC" w:rsidR="003900DF" w:rsidRDefault="003900DF" w:rsidP="003900DF">
      <w:pPr>
        <w:shd w:val="clear" w:color="auto" w:fill="FFFFFF"/>
        <w:spacing w:before="150" w:after="0" w:line="375" w:lineRule="atLeast"/>
        <w:jc w:val="both"/>
        <w:outlineLvl w:val="0"/>
        <w:rPr>
          <w:rFonts w:ascii="Nunito Sans" w:eastAsia="Times New Roman" w:hAnsi="Nunito Sans" w:cs="Times New Roman"/>
          <w:b/>
          <w:bCs/>
          <w:color w:val="C6262F"/>
          <w:kern w:val="36"/>
          <w:sz w:val="38"/>
          <w:szCs w:val="38"/>
          <w:lang w:eastAsia="es-ES"/>
          <w14:ligatures w14:val="none"/>
        </w:rPr>
      </w:pPr>
      <w:r>
        <w:rPr>
          <w:rFonts w:ascii="Nunito Sans" w:eastAsia="Times New Roman" w:hAnsi="Nunito Sans" w:cs="Times New Roman"/>
          <w:b/>
          <w:bCs/>
          <w:color w:val="C6262F"/>
          <w:kern w:val="36"/>
          <w:sz w:val="38"/>
          <w:szCs w:val="38"/>
          <w:lang w:eastAsia="es-ES"/>
          <w14:ligatures w14:val="none"/>
        </w:rPr>
        <w:t>Real Decreto-Ley 6/2024, de 5 de noviembre, por el que se adoptan medidas urgentes de respuesta ante los daños causados por la Depresión Aislada en Niveles Altos (DANA) en diferentes municipios entre el 28 de octubre y el 4 de noviembre de 2024.</w:t>
      </w:r>
    </w:p>
    <w:p w14:paraId="3A5F9B5E" w14:textId="77777777" w:rsidR="003900DF" w:rsidRDefault="003900DF" w:rsidP="003900DF">
      <w:pPr>
        <w:shd w:val="clear" w:color="auto" w:fill="FFFFFF"/>
        <w:spacing w:before="150" w:after="0" w:line="375" w:lineRule="atLeast"/>
        <w:outlineLvl w:val="0"/>
        <w:rPr>
          <w:rFonts w:ascii="Nunito Sans" w:eastAsia="Times New Roman" w:hAnsi="Nunito Sans" w:cs="Times New Roman"/>
          <w:b/>
          <w:bCs/>
          <w:color w:val="C6262F"/>
          <w:kern w:val="36"/>
          <w:sz w:val="38"/>
          <w:szCs w:val="38"/>
          <w:lang w:eastAsia="es-ES"/>
          <w14:ligatures w14:val="none"/>
        </w:rPr>
      </w:pPr>
    </w:p>
    <w:p w14:paraId="7A474E1E" w14:textId="77777777" w:rsidR="00693521" w:rsidRDefault="00693521" w:rsidP="003900DF">
      <w:pPr>
        <w:shd w:val="clear" w:color="auto" w:fill="FFFFFF"/>
        <w:spacing w:before="150" w:after="0" w:line="375" w:lineRule="atLeast"/>
        <w:jc w:val="center"/>
        <w:outlineLvl w:val="0"/>
        <w:rPr>
          <w:rFonts w:ascii="Nunito Sans" w:eastAsia="Times New Roman" w:hAnsi="Nunito Sans" w:cs="Times New Roman"/>
          <w:b/>
          <w:bCs/>
          <w:color w:val="004E9A"/>
          <w:kern w:val="36"/>
          <w:sz w:val="38"/>
          <w:szCs w:val="38"/>
          <w:lang w:eastAsia="es-ES"/>
          <w14:ligatures w14:val="none"/>
        </w:rPr>
      </w:pPr>
      <w:r>
        <w:rPr>
          <w:rFonts w:ascii="Nunito Sans" w:eastAsia="Times New Roman" w:hAnsi="Nunito Sans" w:cs="Times New Roman"/>
          <w:b/>
          <w:bCs/>
          <w:color w:val="004E9A"/>
          <w:kern w:val="36"/>
          <w:sz w:val="38"/>
          <w:szCs w:val="38"/>
          <w:lang w:eastAsia="es-ES"/>
          <w14:ligatures w14:val="none"/>
        </w:rPr>
        <w:t>Otras m</w:t>
      </w:r>
      <w:r w:rsidR="003900DF" w:rsidRPr="003900DF">
        <w:rPr>
          <w:rFonts w:ascii="Nunito Sans" w:eastAsia="Times New Roman" w:hAnsi="Nunito Sans" w:cs="Times New Roman"/>
          <w:b/>
          <w:bCs/>
          <w:color w:val="004E9A"/>
          <w:kern w:val="36"/>
          <w:sz w:val="38"/>
          <w:szCs w:val="38"/>
          <w:lang w:eastAsia="es-ES"/>
          <w14:ligatures w14:val="none"/>
        </w:rPr>
        <w:t xml:space="preserve">edidas </w:t>
      </w:r>
      <w:r>
        <w:rPr>
          <w:rFonts w:ascii="Nunito Sans" w:eastAsia="Times New Roman" w:hAnsi="Nunito Sans" w:cs="Times New Roman"/>
          <w:b/>
          <w:bCs/>
          <w:color w:val="004E9A"/>
          <w:kern w:val="36"/>
          <w:sz w:val="38"/>
          <w:szCs w:val="38"/>
          <w:lang w:eastAsia="es-ES"/>
          <w14:ligatures w14:val="none"/>
        </w:rPr>
        <w:t>destinadas a empresas</w:t>
      </w:r>
    </w:p>
    <w:p w14:paraId="732DFCB4" w14:textId="5468BE03" w:rsidR="003900DF" w:rsidRPr="003900DF" w:rsidRDefault="003900DF" w:rsidP="003900DF">
      <w:pPr>
        <w:shd w:val="clear" w:color="auto" w:fill="FFFFFF"/>
        <w:spacing w:before="150" w:after="0" w:line="375" w:lineRule="atLeast"/>
        <w:jc w:val="center"/>
        <w:outlineLvl w:val="0"/>
        <w:rPr>
          <w:rFonts w:ascii="Nunito Sans" w:eastAsia="Times New Roman" w:hAnsi="Nunito Sans" w:cs="Times New Roman"/>
          <w:b/>
          <w:bCs/>
          <w:color w:val="004E9A"/>
          <w:kern w:val="36"/>
          <w:sz w:val="38"/>
          <w:szCs w:val="38"/>
          <w:lang w:eastAsia="es-ES"/>
          <w14:ligatures w14:val="none"/>
        </w:rPr>
      </w:pPr>
      <w:r w:rsidRPr="003900DF">
        <w:rPr>
          <w:rFonts w:ascii="Nunito Sans" w:eastAsia="Times New Roman" w:hAnsi="Nunito Sans" w:cs="Times New Roman"/>
          <w:b/>
          <w:bCs/>
          <w:color w:val="004E9A"/>
          <w:kern w:val="36"/>
          <w:sz w:val="38"/>
          <w:szCs w:val="38"/>
          <w:lang w:eastAsia="es-ES"/>
          <w14:ligatures w14:val="none"/>
        </w:rPr>
        <w:t xml:space="preserve">(Capitulo </w:t>
      </w:r>
      <w:r w:rsidR="00693521">
        <w:rPr>
          <w:rFonts w:ascii="Nunito Sans" w:eastAsia="Times New Roman" w:hAnsi="Nunito Sans" w:cs="Times New Roman"/>
          <w:b/>
          <w:bCs/>
          <w:color w:val="004E9A"/>
          <w:kern w:val="36"/>
          <w:sz w:val="38"/>
          <w:szCs w:val="38"/>
          <w:lang w:eastAsia="es-ES"/>
          <w14:ligatures w14:val="none"/>
        </w:rPr>
        <w:t>V</w:t>
      </w:r>
      <w:r w:rsidRPr="003900DF">
        <w:rPr>
          <w:rFonts w:ascii="Nunito Sans" w:eastAsia="Times New Roman" w:hAnsi="Nunito Sans" w:cs="Times New Roman"/>
          <w:b/>
          <w:bCs/>
          <w:color w:val="004E9A"/>
          <w:kern w:val="36"/>
          <w:sz w:val="38"/>
          <w:szCs w:val="38"/>
          <w:lang w:eastAsia="es-ES"/>
          <w14:ligatures w14:val="none"/>
        </w:rPr>
        <w:t>)</w:t>
      </w:r>
    </w:p>
    <w:p w14:paraId="2BA130B0" w14:textId="77777777" w:rsidR="001B6588" w:rsidRDefault="001B6588" w:rsidP="003900DF">
      <w:pPr>
        <w:shd w:val="clear" w:color="auto" w:fill="FFFFFF"/>
        <w:spacing w:after="225" w:line="324" w:lineRule="atLeast"/>
        <w:rPr>
          <w:rFonts w:ascii="Barlow" w:eastAsia="Times New Roman" w:hAnsi="Barlow" w:cs="Times New Roman"/>
          <w:color w:val="000000"/>
          <w:kern w:val="0"/>
          <w:sz w:val="27"/>
          <w:szCs w:val="27"/>
          <w:lang w:eastAsia="es-ES"/>
          <w14:ligatures w14:val="none"/>
        </w:rPr>
      </w:pPr>
    </w:p>
    <w:p w14:paraId="027DE530" w14:textId="1932C189" w:rsidR="003900DF" w:rsidRPr="00A56883" w:rsidRDefault="001B6588" w:rsidP="001B6588">
      <w:pPr>
        <w:shd w:val="clear" w:color="auto" w:fill="FFFFFF"/>
        <w:spacing w:after="225" w:line="324" w:lineRule="atLeast"/>
        <w:jc w:val="both"/>
        <w:rPr>
          <w:rFonts w:ascii="Barlow" w:eastAsia="Times New Roman" w:hAnsi="Barlow" w:cs="Times New Roman"/>
          <w:color w:val="004E9A"/>
          <w:kern w:val="0"/>
          <w:sz w:val="27"/>
          <w:szCs w:val="27"/>
          <w:lang w:eastAsia="es-ES"/>
          <w14:ligatures w14:val="none"/>
        </w:rPr>
      </w:pPr>
      <w:r>
        <w:rPr>
          <w:rFonts w:ascii="Barlow" w:eastAsia="Times New Roman" w:hAnsi="Barlow" w:cs="Times New Roman"/>
          <w:b/>
          <w:bCs/>
          <w:color w:val="004E9A"/>
          <w:kern w:val="0"/>
          <w:sz w:val="27"/>
          <w:szCs w:val="27"/>
          <w:lang w:eastAsia="es-ES"/>
          <w14:ligatures w14:val="none"/>
        </w:rPr>
        <w:t xml:space="preserve">1.- </w:t>
      </w:r>
      <w:r w:rsidR="00693521">
        <w:rPr>
          <w:rFonts w:ascii="Barlow" w:eastAsia="Times New Roman" w:hAnsi="Barlow" w:cs="Times New Roman"/>
          <w:b/>
          <w:bCs/>
          <w:color w:val="004E9A"/>
          <w:kern w:val="0"/>
          <w:sz w:val="27"/>
          <w:szCs w:val="27"/>
          <w:lang w:eastAsia="es-ES"/>
          <w14:ligatures w14:val="none"/>
        </w:rPr>
        <w:t>Líneas de Avales para la cobertura por cuenta del Estado de la financiación otorgada por entidades financieras a empresas.</w:t>
      </w:r>
      <w:r>
        <w:rPr>
          <w:rFonts w:ascii="Barlow" w:eastAsia="Times New Roman" w:hAnsi="Barlow" w:cs="Times New Roman"/>
          <w:b/>
          <w:bCs/>
          <w:color w:val="004E9A"/>
          <w:kern w:val="0"/>
          <w:sz w:val="27"/>
          <w:szCs w:val="27"/>
          <w:lang w:eastAsia="es-ES"/>
          <w14:ligatures w14:val="none"/>
        </w:rPr>
        <w:t xml:space="preserve"> </w:t>
      </w:r>
    </w:p>
    <w:p w14:paraId="3E7EF3F9" w14:textId="3BB3C154" w:rsidR="00693521" w:rsidRDefault="00693521" w:rsidP="008C3121">
      <w:pPr>
        <w:shd w:val="clear" w:color="auto" w:fill="FFFFFF"/>
        <w:spacing w:after="225" w:line="324" w:lineRule="atLeast"/>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 xml:space="preserve">El Ministerio de Economía, Comercio y Empresa otorgará avales a la financiación concedida por entidades de crédito a empresas afectadas por la DANA cuyo domicilio radique en alguno de los municipios del anexo del RD-Ley, </w:t>
      </w:r>
      <w:r w:rsidR="00514B27">
        <w:rPr>
          <w:rFonts w:ascii="Barlow" w:eastAsia="Times New Roman" w:hAnsi="Barlow" w:cs="Times New Roman"/>
          <w:color w:val="000000"/>
          <w:kern w:val="0"/>
          <w:sz w:val="27"/>
          <w:szCs w:val="27"/>
          <w:lang w:eastAsia="es-ES"/>
          <w14:ligatures w14:val="none"/>
        </w:rPr>
        <w:t xml:space="preserve">y </w:t>
      </w:r>
      <w:r>
        <w:rPr>
          <w:rFonts w:ascii="Barlow" w:eastAsia="Times New Roman" w:hAnsi="Barlow" w:cs="Times New Roman"/>
          <w:color w:val="000000"/>
          <w:kern w:val="0"/>
          <w:sz w:val="27"/>
          <w:szCs w:val="27"/>
          <w:lang w:eastAsia="es-ES"/>
          <w14:ligatures w14:val="none"/>
        </w:rPr>
        <w:t>que se destinen a sufragar los daños sufridos desde el 29 de octubre de 2024.</w:t>
      </w:r>
    </w:p>
    <w:p w14:paraId="22E4427A" w14:textId="77777777" w:rsidR="00514B27" w:rsidRDefault="00693521" w:rsidP="008C3121">
      <w:pPr>
        <w:shd w:val="clear" w:color="auto" w:fill="FFFFFF"/>
        <w:spacing w:after="225" w:line="324" w:lineRule="atLeast"/>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 xml:space="preserve">Podrá conceder avales por un importe máximo de 5.000 millones de euros, hasta el 31 de diciembre de 2025, sin perjuicio de que este </w:t>
      </w:r>
      <w:r w:rsidR="00514B27">
        <w:rPr>
          <w:rFonts w:ascii="Barlow" w:eastAsia="Times New Roman" w:hAnsi="Barlow" w:cs="Times New Roman"/>
          <w:color w:val="000000"/>
          <w:kern w:val="0"/>
          <w:sz w:val="27"/>
          <w:szCs w:val="27"/>
          <w:lang w:eastAsia="es-ES"/>
          <w14:ligatures w14:val="none"/>
        </w:rPr>
        <w:t xml:space="preserve">plazo pueda ser extendido por el Consejo de </w:t>
      </w:r>
      <w:proofErr w:type="gramStart"/>
      <w:r w:rsidR="00514B27">
        <w:rPr>
          <w:rFonts w:ascii="Barlow" w:eastAsia="Times New Roman" w:hAnsi="Barlow" w:cs="Times New Roman"/>
          <w:color w:val="000000"/>
          <w:kern w:val="0"/>
          <w:sz w:val="27"/>
          <w:szCs w:val="27"/>
          <w:lang w:eastAsia="es-ES"/>
          <w14:ligatures w14:val="none"/>
        </w:rPr>
        <w:t>Ministros</w:t>
      </w:r>
      <w:proofErr w:type="gramEnd"/>
      <w:r w:rsidR="00514B27">
        <w:rPr>
          <w:rFonts w:ascii="Barlow" w:eastAsia="Times New Roman" w:hAnsi="Barlow" w:cs="Times New Roman"/>
          <w:color w:val="000000"/>
          <w:kern w:val="0"/>
          <w:sz w:val="27"/>
          <w:szCs w:val="27"/>
          <w:lang w:eastAsia="es-ES"/>
          <w14:ligatures w14:val="none"/>
        </w:rPr>
        <w:t>.</w:t>
      </w:r>
    </w:p>
    <w:p w14:paraId="4FBA00AB" w14:textId="294E43C0" w:rsidR="00514B27" w:rsidRDefault="00514B27" w:rsidP="008C3121">
      <w:pPr>
        <w:shd w:val="clear" w:color="auto" w:fill="FFFFFF"/>
        <w:spacing w:after="225" w:line="324" w:lineRule="atLeast"/>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 xml:space="preserve">Mediante acuerdo del Consejo de </w:t>
      </w:r>
      <w:proofErr w:type="gramStart"/>
      <w:r>
        <w:rPr>
          <w:rFonts w:ascii="Barlow" w:eastAsia="Times New Roman" w:hAnsi="Barlow" w:cs="Times New Roman"/>
          <w:color w:val="000000"/>
          <w:kern w:val="0"/>
          <w:sz w:val="27"/>
          <w:szCs w:val="27"/>
          <w:lang w:eastAsia="es-ES"/>
          <w14:ligatures w14:val="none"/>
        </w:rPr>
        <w:t>Ministros</w:t>
      </w:r>
      <w:proofErr w:type="gramEnd"/>
      <w:r>
        <w:rPr>
          <w:rFonts w:ascii="Barlow" w:eastAsia="Times New Roman" w:hAnsi="Barlow" w:cs="Times New Roman"/>
          <w:color w:val="000000"/>
          <w:kern w:val="0"/>
          <w:sz w:val="27"/>
          <w:szCs w:val="27"/>
          <w:lang w:eastAsia="es-ES"/>
          <w14:ligatures w14:val="none"/>
        </w:rPr>
        <w:t xml:space="preserve"> se establecerán las condiciones y requisitos a cumplir para acceder a estos avales, así como el plazo máximo para su solicitud. </w:t>
      </w:r>
    </w:p>
    <w:p w14:paraId="0C664C34" w14:textId="01C5F8BE" w:rsidR="00693521" w:rsidRDefault="00693521" w:rsidP="008C3121">
      <w:pPr>
        <w:shd w:val="clear" w:color="auto" w:fill="FFFFFF"/>
        <w:spacing w:after="225" w:line="324" w:lineRule="atLeast"/>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 xml:space="preserve"> </w:t>
      </w:r>
    </w:p>
    <w:p w14:paraId="7611FDB8" w14:textId="77777777" w:rsidR="00743DE4" w:rsidRDefault="00A56883" w:rsidP="004A1ACA">
      <w:pPr>
        <w:shd w:val="clear" w:color="auto" w:fill="FFFFFF"/>
        <w:spacing w:after="225" w:line="324" w:lineRule="atLeast"/>
        <w:rPr>
          <w:rFonts w:ascii="Barlow" w:eastAsia="Times New Roman" w:hAnsi="Barlow" w:cs="Times New Roman"/>
          <w:b/>
          <w:bCs/>
          <w:color w:val="004E9A"/>
          <w:kern w:val="0"/>
          <w:sz w:val="27"/>
          <w:szCs w:val="27"/>
          <w:lang w:eastAsia="es-ES"/>
          <w14:ligatures w14:val="none"/>
        </w:rPr>
      </w:pPr>
      <w:r w:rsidRPr="00A56883">
        <w:rPr>
          <w:rFonts w:ascii="Barlow" w:eastAsia="Times New Roman" w:hAnsi="Barlow" w:cs="Times New Roman"/>
          <w:b/>
          <w:bCs/>
          <w:color w:val="004E9A"/>
          <w:kern w:val="0"/>
          <w:sz w:val="27"/>
          <w:szCs w:val="27"/>
          <w:lang w:eastAsia="es-ES"/>
          <w14:ligatures w14:val="none"/>
        </w:rPr>
        <w:t>2</w:t>
      </w:r>
      <w:r w:rsidR="004A1ACA" w:rsidRPr="00A56883">
        <w:rPr>
          <w:rFonts w:ascii="Barlow" w:eastAsia="Times New Roman" w:hAnsi="Barlow" w:cs="Times New Roman"/>
          <w:b/>
          <w:bCs/>
          <w:color w:val="004E9A"/>
          <w:kern w:val="0"/>
          <w:sz w:val="27"/>
          <w:szCs w:val="27"/>
          <w:lang w:eastAsia="es-ES"/>
          <w14:ligatures w14:val="none"/>
        </w:rPr>
        <w:t>.-</w:t>
      </w:r>
      <w:r w:rsidR="00743DE4">
        <w:rPr>
          <w:rFonts w:ascii="Barlow" w:eastAsia="Times New Roman" w:hAnsi="Barlow" w:cs="Times New Roman"/>
          <w:b/>
          <w:bCs/>
          <w:color w:val="004E9A"/>
          <w:kern w:val="0"/>
          <w:sz w:val="27"/>
          <w:szCs w:val="27"/>
          <w:lang w:eastAsia="es-ES"/>
          <w14:ligatures w14:val="none"/>
        </w:rPr>
        <w:t xml:space="preserve"> Medidas de suspensión de obligaciones de pago de intereses y principal para préstamos y créditos con y sin garantía hipotecaria. </w:t>
      </w:r>
    </w:p>
    <w:p w14:paraId="38F7647E" w14:textId="5272344E" w:rsidR="009B236E" w:rsidRDefault="00743DE4" w:rsidP="007942D1">
      <w:pPr>
        <w:jc w:val="both"/>
        <w:rPr>
          <w:rFonts w:ascii="Barlow" w:eastAsia="Times New Roman" w:hAnsi="Barlow" w:cs="Times New Roman"/>
          <w:color w:val="000000"/>
          <w:kern w:val="0"/>
          <w:sz w:val="27"/>
          <w:szCs w:val="27"/>
          <w:lang w:eastAsia="es-ES"/>
          <w14:ligatures w14:val="none"/>
        </w:rPr>
      </w:pPr>
      <w:r w:rsidRPr="009B236E">
        <w:rPr>
          <w:rFonts w:ascii="Barlow" w:eastAsia="Times New Roman" w:hAnsi="Barlow" w:cs="Times New Roman"/>
          <w:b/>
          <w:bCs/>
          <w:color w:val="000000"/>
          <w:kern w:val="0"/>
          <w:sz w:val="27"/>
          <w:szCs w:val="27"/>
          <w:lang w:eastAsia="es-ES"/>
          <w14:ligatures w14:val="none"/>
        </w:rPr>
        <w:t xml:space="preserve">Las empresas-personas jurídicas afectadas </w:t>
      </w:r>
      <w:r w:rsidR="009B236E" w:rsidRPr="009B236E">
        <w:rPr>
          <w:rFonts w:ascii="Barlow" w:eastAsia="Times New Roman" w:hAnsi="Barlow" w:cs="Times New Roman"/>
          <w:b/>
          <w:bCs/>
          <w:color w:val="000000"/>
          <w:kern w:val="0"/>
          <w:sz w:val="27"/>
          <w:szCs w:val="27"/>
          <w:lang w:eastAsia="es-ES"/>
          <w14:ligatures w14:val="none"/>
        </w:rPr>
        <w:t>por la DANA</w:t>
      </w:r>
      <w:r w:rsidRPr="009B236E">
        <w:rPr>
          <w:rFonts w:ascii="Barlow" w:eastAsia="Times New Roman" w:hAnsi="Barlow" w:cs="Times New Roman"/>
          <w:b/>
          <w:bCs/>
          <w:color w:val="000000"/>
          <w:kern w:val="0"/>
          <w:sz w:val="27"/>
          <w:szCs w:val="27"/>
          <w:lang w:eastAsia="es-ES"/>
          <w14:ligatures w14:val="none"/>
        </w:rPr>
        <w:t xml:space="preserve"> con un volumen de facturación inferior a 6 millones de euros en el último ejercicio cerrado,</w:t>
      </w:r>
      <w:r>
        <w:rPr>
          <w:rFonts w:ascii="Barlow" w:eastAsia="Times New Roman" w:hAnsi="Barlow" w:cs="Times New Roman"/>
          <w:color w:val="000000"/>
          <w:kern w:val="0"/>
          <w:sz w:val="27"/>
          <w:szCs w:val="27"/>
          <w:lang w:eastAsia="es-ES"/>
          <w14:ligatures w14:val="none"/>
        </w:rPr>
        <w:t xml:space="preserve"> podrán ser beneficiarias de la </w:t>
      </w:r>
      <w:r w:rsidRPr="009B236E">
        <w:rPr>
          <w:rFonts w:ascii="Barlow" w:eastAsia="Times New Roman" w:hAnsi="Barlow" w:cs="Times New Roman"/>
          <w:b/>
          <w:bCs/>
          <w:color w:val="000000"/>
          <w:kern w:val="0"/>
          <w:sz w:val="27"/>
          <w:szCs w:val="27"/>
          <w:lang w:eastAsia="es-ES"/>
          <w14:ligatures w14:val="none"/>
        </w:rPr>
        <w:t>suspensión de las obligaciones de pago de intereses y principal para préstamos y créditos</w:t>
      </w:r>
      <w:r>
        <w:rPr>
          <w:rFonts w:ascii="Barlow" w:eastAsia="Times New Roman" w:hAnsi="Barlow" w:cs="Times New Roman"/>
          <w:color w:val="000000"/>
          <w:kern w:val="0"/>
          <w:sz w:val="27"/>
          <w:szCs w:val="27"/>
          <w:lang w:eastAsia="es-ES"/>
          <w14:ligatures w14:val="none"/>
        </w:rPr>
        <w:t xml:space="preserve">, </w:t>
      </w:r>
      <w:r w:rsidR="009B236E">
        <w:rPr>
          <w:rFonts w:ascii="Barlow" w:eastAsia="Times New Roman" w:hAnsi="Barlow" w:cs="Times New Roman"/>
          <w:color w:val="000000"/>
          <w:kern w:val="0"/>
          <w:sz w:val="27"/>
          <w:szCs w:val="27"/>
          <w:lang w:eastAsia="es-ES"/>
          <w14:ligatures w14:val="none"/>
        </w:rPr>
        <w:lastRenderedPageBreak/>
        <w:t>que tuviesen concedidos con anterioridad a la publicación de este RD-Ley, independientemente de si están o no al corriente de pago.</w:t>
      </w:r>
    </w:p>
    <w:p w14:paraId="776CE787" w14:textId="79D886ED" w:rsidR="009B236E" w:rsidRDefault="009B236E" w:rsidP="007942D1">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 xml:space="preserve">En el caso de </w:t>
      </w:r>
      <w:r w:rsidRPr="009B236E">
        <w:rPr>
          <w:rFonts w:ascii="Barlow" w:eastAsia="Times New Roman" w:hAnsi="Barlow" w:cs="Times New Roman"/>
          <w:color w:val="000000"/>
          <w:kern w:val="0"/>
          <w:sz w:val="27"/>
          <w:szCs w:val="27"/>
          <w:u w:val="single"/>
          <w:lang w:eastAsia="es-ES"/>
          <w14:ligatures w14:val="none"/>
        </w:rPr>
        <w:t>préstamos con garantía hipotecaria</w:t>
      </w:r>
      <w:r>
        <w:rPr>
          <w:rFonts w:ascii="Barlow" w:eastAsia="Times New Roman" w:hAnsi="Barlow" w:cs="Times New Roman"/>
          <w:color w:val="000000"/>
          <w:kern w:val="0"/>
          <w:sz w:val="27"/>
          <w:szCs w:val="27"/>
          <w:lang w:eastAsia="es-ES"/>
          <w14:ligatures w14:val="none"/>
        </w:rPr>
        <w:t xml:space="preserve">, será </w:t>
      </w:r>
      <w:proofErr w:type="gramStart"/>
      <w:r>
        <w:rPr>
          <w:rFonts w:ascii="Barlow" w:eastAsia="Times New Roman" w:hAnsi="Barlow" w:cs="Times New Roman"/>
          <w:color w:val="000000"/>
          <w:kern w:val="0"/>
          <w:sz w:val="27"/>
          <w:szCs w:val="27"/>
          <w:lang w:eastAsia="es-ES"/>
          <w14:ligatures w14:val="none"/>
        </w:rPr>
        <w:t>requisito imprescindible</w:t>
      </w:r>
      <w:proofErr w:type="gramEnd"/>
      <w:r>
        <w:rPr>
          <w:rFonts w:ascii="Barlow" w:eastAsia="Times New Roman" w:hAnsi="Barlow" w:cs="Times New Roman"/>
          <w:color w:val="000000"/>
          <w:kern w:val="0"/>
          <w:sz w:val="27"/>
          <w:szCs w:val="27"/>
          <w:lang w:eastAsia="es-ES"/>
          <w14:ligatures w14:val="none"/>
        </w:rPr>
        <w:t xml:space="preserve"> que ésta se haya constituido sobre inmuebles situados en alguna de las localidades recogidas en el Anexo del RD.</w:t>
      </w:r>
    </w:p>
    <w:p w14:paraId="526B5185" w14:textId="77777777" w:rsidR="009B236E" w:rsidRDefault="009B236E" w:rsidP="007942D1">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 xml:space="preserve">Cuando se trate de </w:t>
      </w:r>
      <w:r w:rsidRPr="009B236E">
        <w:rPr>
          <w:rFonts w:ascii="Barlow" w:eastAsia="Times New Roman" w:hAnsi="Barlow" w:cs="Times New Roman"/>
          <w:color w:val="000000"/>
          <w:kern w:val="0"/>
          <w:sz w:val="27"/>
          <w:szCs w:val="27"/>
          <w:u w:val="single"/>
          <w:lang w:eastAsia="es-ES"/>
          <w14:ligatures w14:val="none"/>
        </w:rPr>
        <w:t>préstamos o créditos sin garantía hipotecaria</w:t>
      </w:r>
      <w:r>
        <w:rPr>
          <w:rFonts w:ascii="Barlow" w:eastAsia="Times New Roman" w:hAnsi="Barlow" w:cs="Times New Roman"/>
          <w:color w:val="000000"/>
          <w:kern w:val="0"/>
          <w:sz w:val="27"/>
          <w:szCs w:val="27"/>
          <w:lang w:eastAsia="es-ES"/>
          <w14:ligatures w14:val="none"/>
        </w:rPr>
        <w:t>, será necesario que la actividad económica principal se encuentre situada en dicha zona.</w:t>
      </w:r>
    </w:p>
    <w:p w14:paraId="34B805D3" w14:textId="0C18D2A4" w:rsidR="009B236E" w:rsidRDefault="009B236E" w:rsidP="007942D1">
      <w:pPr>
        <w:jc w:val="both"/>
        <w:rPr>
          <w:rFonts w:ascii="Barlow" w:eastAsia="Times New Roman" w:hAnsi="Barlow" w:cs="Times New Roman"/>
          <w:color w:val="000000"/>
          <w:kern w:val="0"/>
          <w:sz w:val="27"/>
          <w:szCs w:val="27"/>
          <w:lang w:eastAsia="es-ES"/>
          <w14:ligatures w14:val="none"/>
        </w:rPr>
      </w:pPr>
      <w:r w:rsidRPr="00352D01">
        <w:rPr>
          <w:rFonts w:ascii="Barlow" w:eastAsia="Times New Roman" w:hAnsi="Barlow" w:cs="Times New Roman"/>
          <w:color w:val="000000"/>
          <w:kern w:val="0"/>
          <w:sz w:val="27"/>
          <w:szCs w:val="27"/>
          <w:u w:val="single"/>
          <w:lang w:eastAsia="es-ES"/>
          <w14:ligatures w14:val="none"/>
        </w:rPr>
        <w:t>Los contratos de arrendamiento financiero y de financiación de circulante</w:t>
      </w:r>
      <w:r>
        <w:rPr>
          <w:rFonts w:ascii="Barlow" w:eastAsia="Times New Roman" w:hAnsi="Barlow" w:cs="Times New Roman"/>
          <w:color w:val="000000"/>
          <w:kern w:val="0"/>
          <w:sz w:val="27"/>
          <w:szCs w:val="27"/>
          <w:lang w:eastAsia="es-ES"/>
          <w14:ligatures w14:val="none"/>
        </w:rPr>
        <w:t xml:space="preserve"> se entenderán incluidos dentro del ámbito de aplicación objetiva de esta medida. </w:t>
      </w:r>
      <w:r w:rsidR="00352D01">
        <w:rPr>
          <w:rFonts w:ascii="Barlow" w:eastAsia="Times New Roman" w:hAnsi="Barlow" w:cs="Times New Roman"/>
          <w:color w:val="000000"/>
          <w:kern w:val="0"/>
          <w:sz w:val="27"/>
          <w:szCs w:val="27"/>
          <w:lang w:eastAsia="es-ES"/>
          <w14:ligatures w14:val="none"/>
        </w:rPr>
        <w:t>La a</w:t>
      </w:r>
      <w:r>
        <w:rPr>
          <w:rFonts w:ascii="Barlow" w:eastAsia="Times New Roman" w:hAnsi="Barlow" w:cs="Times New Roman"/>
          <w:color w:val="000000"/>
          <w:kern w:val="0"/>
          <w:sz w:val="27"/>
          <w:szCs w:val="27"/>
          <w:lang w:eastAsia="es-ES"/>
          <w14:ligatures w14:val="none"/>
        </w:rPr>
        <w:t>plicación de la moratoria no conllevará la pérdida de los ben</w:t>
      </w:r>
      <w:r w:rsidR="00352D01">
        <w:rPr>
          <w:rFonts w:ascii="Barlow" w:eastAsia="Times New Roman" w:hAnsi="Barlow" w:cs="Times New Roman"/>
          <w:color w:val="000000"/>
          <w:kern w:val="0"/>
          <w:sz w:val="27"/>
          <w:szCs w:val="27"/>
          <w:lang w:eastAsia="es-ES"/>
          <w14:ligatures w14:val="none"/>
        </w:rPr>
        <w:t>eficios fiscales en los contratos de arrendamiento financiero.</w:t>
      </w:r>
    </w:p>
    <w:p w14:paraId="5A2C2A92" w14:textId="77777777" w:rsidR="00352D01" w:rsidRDefault="00352D01" w:rsidP="007942D1">
      <w:pPr>
        <w:jc w:val="both"/>
        <w:rPr>
          <w:rFonts w:ascii="Barlow" w:eastAsia="Times New Roman" w:hAnsi="Barlow" w:cs="Times New Roman"/>
          <w:color w:val="000000"/>
          <w:kern w:val="0"/>
          <w:sz w:val="27"/>
          <w:szCs w:val="27"/>
          <w:lang w:eastAsia="es-ES"/>
          <w14:ligatures w14:val="none"/>
        </w:rPr>
      </w:pPr>
    </w:p>
    <w:p w14:paraId="66556214" w14:textId="61B3ABDA" w:rsidR="00A80CE0" w:rsidRDefault="00352D01" w:rsidP="007942D1">
      <w:pPr>
        <w:jc w:val="both"/>
        <w:rPr>
          <w:rFonts w:ascii="Barlow" w:eastAsia="Times New Roman" w:hAnsi="Barlow" w:cs="Times New Roman"/>
          <w:color w:val="000000"/>
          <w:kern w:val="0"/>
          <w:sz w:val="27"/>
          <w:szCs w:val="27"/>
          <w:lang w:eastAsia="es-ES"/>
          <w14:ligatures w14:val="none"/>
        </w:rPr>
      </w:pPr>
      <w:r w:rsidRPr="00772A22">
        <w:rPr>
          <w:rFonts w:ascii="Barlow" w:eastAsia="Times New Roman" w:hAnsi="Barlow" w:cs="Times New Roman"/>
          <w:color w:val="000000"/>
          <w:kern w:val="0"/>
          <w:sz w:val="27"/>
          <w:szCs w:val="27"/>
          <w:lang w:eastAsia="es-ES"/>
          <w14:ligatures w14:val="none"/>
        </w:rPr>
        <w:t>La moratoria se podrá solicitar</w:t>
      </w:r>
      <w:r>
        <w:rPr>
          <w:rFonts w:ascii="Barlow" w:eastAsia="Times New Roman" w:hAnsi="Barlow" w:cs="Times New Roman"/>
          <w:color w:val="000000"/>
          <w:kern w:val="0"/>
          <w:sz w:val="27"/>
          <w:szCs w:val="27"/>
          <w:lang w:eastAsia="es-ES"/>
          <w14:ligatures w14:val="none"/>
        </w:rPr>
        <w:t xml:space="preserve"> al acreedor desde </w:t>
      </w:r>
      <w:r w:rsidR="00772A22">
        <w:rPr>
          <w:rFonts w:ascii="Barlow" w:eastAsia="Times New Roman" w:hAnsi="Barlow" w:cs="Times New Roman"/>
          <w:color w:val="000000"/>
          <w:kern w:val="0"/>
          <w:sz w:val="27"/>
          <w:szCs w:val="27"/>
          <w:lang w:eastAsia="es-ES"/>
          <w14:ligatures w14:val="none"/>
        </w:rPr>
        <w:t xml:space="preserve">la </w:t>
      </w:r>
      <w:r w:rsidR="00F94812">
        <w:rPr>
          <w:rFonts w:ascii="Barlow" w:eastAsia="Times New Roman" w:hAnsi="Barlow" w:cs="Times New Roman"/>
          <w:color w:val="000000"/>
          <w:kern w:val="0"/>
          <w:sz w:val="27"/>
          <w:szCs w:val="27"/>
          <w:lang w:eastAsia="es-ES"/>
          <w14:ligatures w14:val="none"/>
        </w:rPr>
        <w:t>e</w:t>
      </w:r>
      <w:r w:rsidR="00772A22">
        <w:rPr>
          <w:rFonts w:ascii="Barlow" w:eastAsia="Times New Roman" w:hAnsi="Barlow" w:cs="Times New Roman"/>
          <w:color w:val="000000"/>
          <w:kern w:val="0"/>
          <w:sz w:val="27"/>
          <w:szCs w:val="27"/>
          <w:lang w:eastAsia="es-ES"/>
          <w14:ligatures w14:val="none"/>
        </w:rPr>
        <w:t xml:space="preserve">ntrada </w:t>
      </w:r>
      <w:r w:rsidR="00F94812">
        <w:rPr>
          <w:rFonts w:ascii="Barlow" w:eastAsia="Times New Roman" w:hAnsi="Barlow" w:cs="Times New Roman"/>
          <w:color w:val="000000"/>
          <w:kern w:val="0"/>
          <w:sz w:val="27"/>
          <w:szCs w:val="27"/>
          <w:lang w:eastAsia="es-ES"/>
          <w14:ligatures w14:val="none"/>
        </w:rPr>
        <w:t xml:space="preserve">en vigor del RD-Ley, </w:t>
      </w:r>
      <w:r w:rsidR="00A80CE0">
        <w:rPr>
          <w:rFonts w:ascii="Barlow" w:eastAsia="Times New Roman" w:hAnsi="Barlow" w:cs="Times New Roman"/>
          <w:color w:val="000000"/>
          <w:kern w:val="0"/>
          <w:sz w:val="27"/>
          <w:szCs w:val="27"/>
          <w:lang w:eastAsia="es-ES"/>
          <w14:ligatures w14:val="none"/>
        </w:rPr>
        <w:t>para lo cual, los deudores tendrán que acreditar que cumplen las condiciones para beneficiarse de esta medida, del siguiente modo:</w:t>
      </w:r>
    </w:p>
    <w:p w14:paraId="76F5BF32" w14:textId="77777777" w:rsidR="00A80CE0" w:rsidRDefault="00A80CE0" w:rsidP="00A80CE0">
      <w:pPr>
        <w:pStyle w:val="Prrafodelista"/>
        <w:numPr>
          <w:ilvl w:val="0"/>
          <w:numId w:val="2"/>
        </w:numPr>
        <w:jc w:val="both"/>
        <w:rPr>
          <w:rFonts w:ascii="Barlow" w:eastAsia="Times New Roman" w:hAnsi="Barlow" w:cs="Times New Roman"/>
          <w:color w:val="000000"/>
          <w:kern w:val="0"/>
          <w:sz w:val="27"/>
          <w:szCs w:val="27"/>
          <w:lang w:eastAsia="es-ES"/>
          <w14:ligatures w14:val="none"/>
        </w:rPr>
      </w:pPr>
      <w:r w:rsidRPr="00A80CE0">
        <w:rPr>
          <w:rFonts w:ascii="Barlow" w:eastAsia="Times New Roman" w:hAnsi="Barlow" w:cs="Times New Roman"/>
          <w:color w:val="000000"/>
          <w:kern w:val="0"/>
          <w:sz w:val="27"/>
          <w:szCs w:val="27"/>
          <w:lang w:eastAsia="es-ES"/>
          <w14:ligatures w14:val="none"/>
        </w:rPr>
        <w:t>En el caso de oper</w:t>
      </w:r>
      <w:r>
        <w:rPr>
          <w:rFonts w:ascii="Barlow" w:eastAsia="Times New Roman" w:hAnsi="Barlow" w:cs="Times New Roman"/>
          <w:color w:val="000000"/>
          <w:kern w:val="0"/>
          <w:sz w:val="27"/>
          <w:szCs w:val="27"/>
          <w:lang w:eastAsia="es-ES"/>
          <w14:ligatures w14:val="none"/>
        </w:rPr>
        <w:t>aciones con garantía hipotecaria, con una mera solicitud</w:t>
      </w:r>
    </w:p>
    <w:p w14:paraId="2EA0FF46" w14:textId="77777777" w:rsidR="00A80CE0" w:rsidRDefault="00A80CE0" w:rsidP="00A80CE0">
      <w:pPr>
        <w:pStyle w:val="Prrafodelista"/>
        <w:numPr>
          <w:ilvl w:val="0"/>
          <w:numId w:val="2"/>
        </w:num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En el caso de operaciones sin garantía hipotecaria, de empresas cuya actividad principal se encuentre localizada en alguno de los municipios del Anexo del RD-Ley, mediante cualquier documento que acredite dicha circunstancia o, en su caso, mediante una declaración responsable.</w:t>
      </w:r>
    </w:p>
    <w:p w14:paraId="20C88D08" w14:textId="77777777" w:rsidR="00A80CE0" w:rsidRDefault="00A80CE0" w:rsidP="00A80CE0">
      <w:pPr>
        <w:pStyle w:val="Prrafodelista"/>
        <w:ind w:left="1068"/>
        <w:jc w:val="both"/>
        <w:rPr>
          <w:rFonts w:ascii="Barlow" w:eastAsia="Times New Roman" w:hAnsi="Barlow" w:cs="Times New Roman"/>
          <w:color w:val="000000"/>
          <w:kern w:val="0"/>
          <w:sz w:val="27"/>
          <w:szCs w:val="27"/>
          <w:lang w:eastAsia="es-ES"/>
          <w14:ligatures w14:val="none"/>
        </w:rPr>
      </w:pPr>
    </w:p>
    <w:p w14:paraId="1D3777CF" w14:textId="77777777" w:rsidR="00F94812" w:rsidRDefault="00A80CE0" w:rsidP="007942D1">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El acreedor, en el plazo de 15 días desde la fecha de solicitud de la moratoria, procederá a la suspensión con efectos desde la fe</w:t>
      </w:r>
      <w:r w:rsidR="00F94812">
        <w:rPr>
          <w:rFonts w:ascii="Barlow" w:eastAsia="Times New Roman" w:hAnsi="Barlow" w:cs="Times New Roman"/>
          <w:color w:val="000000"/>
          <w:kern w:val="0"/>
          <w:sz w:val="27"/>
          <w:szCs w:val="27"/>
          <w:lang w:eastAsia="es-ES"/>
          <w14:ligatures w14:val="none"/>
        </w:rPr>
        <w:t>cha de solicitud de las obligaciones derivadas del contrato de préstamo o crédito.</w:t>
      </w:r>
    </w:p>
    <w:p w14:paraId="27A85884" w14:textId="77777777" w:rsidR="00F94812" w:rsidRDefault="00F94812" w:rsidP="007942D1">
      <w:pPr>
        <w:jc w:val="both"/>
        <w:rPr>
          <w:rFonts w:ascii="Barlow" w:eastAsia="Times New Roman" w:hAnsi="Barlow" w:cs="Times New Roman"/>
          <w:color w:val="000000"/>
          <w:kern w:val="0"/>
          <w:sz w:val="27"/>
          <w:szCs w:val="27"/>
          <w:lang w:eastAsia="es-ES"/>
          <w14:ligatures w14:val="none"/>
        </w:rPr>
      </w:pPr>
    </w:p>
    <w:p w14:paraId="7EBB19BB" w14:textId="77777777" w:rsidR="00F94812" w:rsidRDefault="00F94812" w:rsidP="007942D1">
      <w:pPr>
        <w:jc w:val="both"/>
        <w:rPr>
          <w:rFonts w:ascii="Barlow" w:eastAsia="Times New Roman" w:hAnsi="Barlow" w:cs="Times New Roman"/>
          <w:sz w:val="27"/>
          <w:szCs w:val="27"/>
          <w:lang w:eastAsia="es-ES"/>
        </w:rPr>
      </w:pPr>
      <w:r w:rsidRPr="00F94812">
        <w:rPr>
          <w:rFonts w:ascii="Barlow" w:eastAsia="Times New Roman" w:hAnsi="Barlow" w:cs="Times New Roman"/>
          <w:b/>
          <w:bCs/>
          <w:color w:val="000000"/>
          <w:kern w:val="0"/>
          <w:sz w:val="27"/>
          <w:szCs w:val="27"/>
          <w:lang w:eastAsia="es-ES"/>
          <w14:ligatures w14:val="none"/>
        </w:rPr>
        <w:t>La moratoria supondrá la suspensión de la deuda durante el plazo de 3 meses, incluyendo la deuda impagada.</w:t>
      </w:r>
      <w:r>
        <w:rPr>
          <w:rFonts w:ascii="Barlow" w:eastAsia="Times New Roman" w:hAnsi="Barlow" w:cs="Times New Roman"/>
          <w:sz w:val="27"/>
          <w:szCs w:val="27"/>
          <w:lang w:eastAsia="es-ES"/>
        </w:rPr>
        <w:t xml:space="preserve"> Durante este periodo el acreedor no podrá exigir el pago de la cuota, ni de ninguno de los conceptos que la integran (amortización de capital o pago de intereses).</w:t>
      </w:r>
    </w:p>
    <w:p w14:paraId="5B2D5552" w14:textId="144F7776" w:rsidR="00A56883" w:rsidRDefault="00F94812" w:rsidP="007942D1">
      <w:pPr>
        <w:jc w:val="both"/>
        <w:rPr>
          <w:rFonts w:ascii="Barlow" w:eastAsia="Times New Roman" w:hAnsi="Barlow" w:cs="Times New Roman"/>
          <w:b/>
          <w:bCs/>
          <w:sz w:val="27"/>
          <w:szCs w:val="27"/>
          <w:lang w:eastAsia="es-ES"/>
        </w:rPr>
      </w:pPr>
      <w:r w:rsidRPr="00F94812">
        <w:rPr>
          <w:rFonts w:ascii="Barlow" w:eastAsia="Times New Roman" w:hAnsi="Barlow" w:cs="Times New Roman"/>
          <w:b/>
          <w:bCs/>
          <w:sz w:val="27"/>
          <w:szCs w:val="27"/>
          <w:lang w:eastAsia="es-ES"/>
        </w:rPr>
        <w:lastRenderedPageBreak/>
        <w:t xml:space="preserve">Transcurrido este plazo, se extenderá la moratoria por un periodo adicional de 9 meses, pero únicamente por la amortización de capital. </w:t>
      </w:r>
    </w:p>
    <w:p w14:paraId="275C4DA7" w14:textId="77777777" w:rsidR="00B64421" w:rsidRDefault="00B64421" w:rsidP="007942D1">
      <w:pPr>
        <w:jc w:val="both"/>
        <w:rPr>
          <w:rFonts w:ascii="Barlow" w:eastAsia="Times New Roman" w:hAnsi="Barlow" w:cs="Times New Roman"/>
          <w:b/>
          <w:bCs/>
          <w:sz w:val="27"/>
          <w:szCs w:val="27"/>
          <w:lang w:eastAsia="es-ES"/>
        </w:rPr>
      </w:pPr>
    </w:p>
    <w:p w14:paraId="12D0CBCE" w14:textId="13D36FFF" w:rsidR="00B64421" w:rsidRPr="00B64421" w:rsidRDefault="00B64421" w:rsidP="007942D1">
      <w:pPr>
        <w:jc w:val="both"/>
        <w:rPr>
          <w:rFonts w:ascii="Barlow" w:eastAsia="Times New Roman" w:hAnsi="Barlow" w:cs="Times New Roman"/>
          <w:sz w:val="27"/>
          <w:szCs w:val="27"/>
          <w:lang w:eastAsia="es-ES"/>
        </w:rPr>
      </w:pPr>
      <w:r w:rsidRPr="00B64421">
        <w:rPr>
          <w:rFonts w:ascii="Barlow" w:eastAsia="Times New Roman" w:hAnsi="Barlow" w:cs="Times New Roman"/>
          <w:sz w:val="27"/>
          <w:szCs w:val="27"/>
          <w:lang w:eastAsia="es-ES"/>
        </w:rPr>
        <w:t>Para los préstamos y créditos que no cuenten con garantía hipotecaria, la fecha del vencimiento acordada en el contrato se ampliará, como consecuencia de la suspensión, por el tiempo de duración de esta, sin modificación alguna del resto de las condiciones pactadas.</w:t>
      </w:r>
    </w:p>
    <w:sectPr w:rsidR="00B64421" w:rsidRPr="00B644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Nunito Sans">
    <w:altName w:val="Calibri"/>
    <w:charset w:val="00"/>
    <w:family w:val="auto"/>
    <w:pitch w:val="variable"/>
    <w:sig w:usb0="A00002FF" w:usb1="5000204B" w:usb2="00000000" w:usb3="00000000" w:csb0="00000197" w:csb1="00000000"/>
  </w:font>
  <w:font w:name="Barlow">
    <w:altName w:val="Calibri"/>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80076"/>
    <w:multiLevelType w:val="hybridMultilevel"/>
    <w:tmpl w:val="60A86BAC"/>
    <w:lvl w:ilvl="0" w:tplc="CB0E6B8C">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3CA7045E"/>
    <w:multiLevelType w:val="hybridMultilevel"/>
    <w:tmpl w:val="BDF84AB2"/>
    <w:lvl w:ilvl="0" w:tplc="7BD41728">
      <w:start w:val="3"/>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15613696">
    <w:abstractNumId w:val="1"/>
  </w:num>
  <w:num w:numId="2" w16cid:durableId="212561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DF"/>
    <w:rsid w:val="000004E2"/>
    <w:rsid w:val="000D3297"/>
    <w:rsid w:val="00125CB1"/>
    <w:rsid w:val="001A36E6"/>
    <w:rsid w:val="001B6588"/>
    <w:rsid w:val="00254144"/>
    <w:rsid w:val="002744C0"/>
    <w:rsid w:val="002E0587"/>
    <w:rsid w:val="003314C5"/>
    <w:rsid w:val="00352D01"/>
    <w:rsid w:val="003900DF"/>
    <w:rsid w:val="003E10A5"/>
    <w:rsid w:val="004653BB"/>
    <w:rsid w:val="004A1ACA"/>
    <w:rsid w:val="004A7D27"/>
    <w:rsid w:val="00514B27"/>
    <w:rsid w:val="00693521"/>
    <w:rsid w:val="00743DE4"/>
    <w:rsid w:val="00764045"/>
    <w:rsid w:val="00772A22"/>
    <w:rsid w:val="007942D1"/>
    <w:rsid w:val="008A5390"/>
    <w:rsid w:val="008B12A2"/>
    <w:rsid w:val="008C3121"/>
    <w:rsid w:val="009B236E"/>
    <w:rsid w:val="009F6E19"/>
    <w:rsid w:val="00A3729E"/>
    <w:rsid w:val="00A56883"/>
    <w:rsid w:val="00A80CE0"/>
    <w:rsid w:val="00B325C2"/>
    <w:rsid w:val="00B64421"/>
    <w:rsid w:val="00DF4161"/>
    <w:rsid w:val="00E303DE"/>
    <w:rsid w:val="00E7002C"/>
    <w:rsid w:val="00EC47CF"/>
    <w:rsid w:val="00F948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B125"/>
  <w15:chartTrackingRefBased/>
  <w15:docId w15:val="{89A78FB0-FDAE-4FDE-AAC8-B4BE2086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0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90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900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00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00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00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00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00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00D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00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900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900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00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00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00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00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00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00DF"/>
    <w:rPr>
      <w:rFonts w:eastAsiaTheme="majorEastAsia" w:cstheme="majorBidi"/>
      <w:color w:val="272727" w:themeColor="text1" w:themeTint="D8"/>
    </w:rPr>
  </w:style>
  <w:style w:type="paragraph" w:styleId="Ttulo">
    <w:name w:val="Title"/>
    <w:basedOn w:val="Normal"/>
    <w:next w:val="Normal"/>
    <w:link w:val="TtuloCar"/>
    <w:uiPriority w:val="10"/>
    <w:qFormat/>
    <w:rsid w:val="00390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00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00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00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00DF"/>
    <w:pPr>
      <w:spacing w:before="160"/>
      <w:jc w:val="center"/>
    </w:pPr>
    <w:rPr>
      <w:i/>
      <w:iCs/>
      <w:color w:val="404040" w:themeColor="text1" w:themeTint="BF"/>
    </w:rPr>
  </w:style>
  <w:style w:type="character" w:customStyle="1" w:styleId="CitaCar">
    <w:name w:val="Cita Car"/>
    <w:basedOn w:val="Fuentedeprrafopredeter"/>
    <w:link w:val="Cita"/>
    <w:uiPriority w:val="29"/>
    <w:rsid w:val="003900DF"/>
    <w:rPr>
      <w:i/>
      <w:iCs/>
      <w:color w:val="404040" w:themeColor="text1" w:themeTint="BF"/>
    </w:rPr>
  </w:style>
  <w:style w:type="paragraph" w:styleId="Prrafodelista">
    <w:name w:val="List Paragraph"/>
    <w:basedOn w:val="Normal"/>
    <w:uiPriority w:val="34"/>
    <w:qFormat/>
    <w:rsid w:val="003900DF"/>
    <w:pPr>
      <w:ind w:left="720"/>
      <w:contextualSpacing/>
    </w:pPr>
  </w:style>
  <w:style w:type="character" w:styleId="nfasisintenso">
    <w:name w:val="Intense Emphasis"/>
    <w:basedOn w:val="Fuentedeprrafopredeter"/>
    <w:uiPriority w:val="21"/>
    <w:qFormat/>
    <w:rsid w:val="003900DF"/>
    <w:rPr>
      <w:i/>
      <w:iCs/>
      <w:color w:val="0F4761" w:themeColor="accent1" w:themeShade="BF"/>
    </w:rPr>
  </w:style>
  <w:style w:type="paragraph" w:styleId="Citadestacada">
    <w:name w:val="Intense Quote"/>
    <w:basedOn w:val="Normal"/>
    <w:next w:val="Normal"/>
    <w:link w:val="CitadestacadaCar"/>
    <w:uiPriority w:val="30"/>
    <w:qFormat/>
    <w:rsid w:val="00390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00DF"/>
    <w:rPr>
      <w:i/>
      <w:iCs/>
      <w:color w:val="0F4761" w:themeColor="accent1" w:themeShade="BF"/>
    </w:rPr>
  </w:style>
  <w:style w:type="character" w:styleId="Referenciaintensa">
    <w:name w:val="Intense Reference"/>
    <w:basedOn w:val="Fuentedeprrafopredeter"/>
    <w:uiPriority w:val="32"/>
    <w:qFormat/>
    <w:rsid w:val="003900DF"/>
    <w:rPr>
      <w:b/>
      <w:bCs/>
      <w:smallCaps/>
      <w:color w:val="0F4761" w:themeColor="accent1" w:themeShade="BF"/>
      <w:spacing w:val="5"/>
    </w:rPr>
  </w:style>
  <w:style w:type="table" w:styleId="Tablaconcuadrcula">
    <w:name w:val="Table Grid"/>
    <w:basedOn w:val="Tablanormal"/>
    <w:uiPriority w:val="39"/>
    <w:rsid w:val="0027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570</Words>
  <Characters>3139</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dc:creator>
  <cp:keywords/>
  <dc:description/>
  <cp:lastModifiedBy>Paloma</cp:lastModifiedBy>
  <cp:revision>2</cp:revision>
  <dcterms:created xsi:type="dcterms:W3CDTF">2024-11-06T18:05:00Z</dcterms:created>
  <dcterms:modified xsi:type="dcterms:W3CDTF">2024-11-06T18:05:00Z</dcterms:modified>
</cp:coreProperties>
</file>